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7B0" w:rsidRPr="007B1A49" w:rsidRDefault="006417B0" w:rsidP="003A6BC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1A49">
        <w:rPr>
          <w:rFonts w:ascii="Times New Roman" w:hAnsi="Times New Roman" w:cs="Times New Roman"/>
          <w:sz w:val="28"/>
          <w:szCs w:val="28"/>
        </w:rPr>
        <w:t>Приложение</w:t>
      </w:r>
      <w:r w:rsidR="00346B48" w:rsidRPr="007B1A49">
        <w:rPr>
          <w:rFonts w:ascii="Times New Roman" w:hAnsi="Times New Roman" w:cs="Times New Roman"/>
          <w:sz w:val="28"/>
          <w:szCs w:val="28"/>
        </w:rPr>
        <w:t xml:space="preserve"> 1</w:t>
      </w:r>
      <w:r w:rsidR="00FF3BF2">
        <w:rPr>
          <w:rFonts w:ascii="Times New Roman" w:hAnsi="Times New Roman" w:cs="Times New Roman"/>
          <w:sz w:val="28"/>
          <w:szCs w:val="28"/>
        </w:rPr>
        <w:t xml:space="preserve"> к Методике</w:t>
      </w:r>
    </w:p>
    <w:p w:rsidR="008C599A" w:rsidRPr="007B1A49" w:rsidRDefault="006769B2" w:rsidP="003A6B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A49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 xml:space="preserve">Приоритеты развития Российской Федерации </w:t>
      </w:r>
      <w:r w:rsidRPr="006043BB">
        <w:rPr>
          <w:rStyle w:val="a3"/>
          <w:b w:val="0"/>
          <w:color w:val="0F1115"/>
          <w:spacing w:val="-2"/>
          <w:sz w:val="28"/>
          <w:szCs w:val="28"/>
        </w:rPr>
        <w:t>(федеральные приоритеты)</w:t>
      </w:r>
      <w:r w:rsidRPr="006043BB">
        <w:rPr>
          <w:b/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>– национальные цели развития Российской Федерации и иные приоритеты, утвержденные в документах стратегического планирования и</w:t>
      </w:r>
      <w:r w:rsidR="0027613A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>иных документах на федеральном уровне.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Приоритеты развития города Москвы</w:t>
      </w:r>
      <w:r w:rsidRPr="006043BB">
        <w:rPr>
          <w:color w:val="0F1115"/>
          <w:spacing w:val="-2"/>
          <w:sz w:val="28"/>
          <w:szCs w:val="28"/>
        </w:rPr>
        <w:t> – цели и задачи социально-экономического развития города Москвы, установленные на федеральном уровне для города Москвы в целом, включая ориентиры, установленные для оценки деятельности высших должностных лиц субъектов и органов исполнительной власти, и в документах стратегического планирования города Москвы.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 xml:space="preserve">Модель </w:t>
      </w:r>
      <w:bookmarkStart w:id="0" w:name="_Hlk233107264"/>
      <w:r w:rsidRPr="006043BB">
        <w:rPr>
          <w:b/>
          <w:spacing w:val="-2"/>
          <w:sz w:val="28"/>
          <w:szCs w:val="28"/>
        </w:rPr>
        <w:t>формирования и актуализации учетных показателей, характеризующих достижение целей социально-экономического развития города Москвы в сфере городского хозяйства</w:t>
      </w:r>
      <w:bookmarkEnd w:id="0"/>
      <w:r w:rsidRPr="006043BB">
        <w:rPr>
          <w:rStyle w:val="a3"/>
          <w:color w:val="0F1115"/>
          <w:spacing w:val="-2"/>
          <w:sz w:val="28"/>
          <w:szCs w:val="28"/>
        </w:rPr>
        <w:t xml:space="preserve"> </w:t>
      </w:r>
      <w:r w:rsidRPr="006043BB">
        <w:rPr>
          <w:rStyle w:val="a3"/>
          <w:b w:val="0"/>
          <w:color w:val="0F1115"/>
          <w:spacing w:val="-2"/>
          <w:sz w:val="28"/>
          <w:szCs w:val="28"/>
        </w:rPr>
        <w:t>(приложение 4 к Методике)</w:t>
      </w:r>
      <w:r w:rsidR="001E3C3B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>– система правил и методов</w:t>
      </w:r>
      <w:r w:rsidR="001E3C3B">
        <w:rPr>
          <w:color w:val="0F1115"/>
          <w:spacing w:val="-2"/>
          <w:sz w:val="28"/>
          <w:szCs w:val="28"/>
        </w:rPr>
        <w:t>,</w:t>
      </w:r>
      <w:r w:rsidRPr="006043BB">
        <w:rPr>
          <w:color w:val="0F1115"/>
          <w:spacing w:val="-2"/>
          <w:sz w:val="28"/>
          <w:szCs w:val="28"/>
        </w:rPr>
        <w:t xml:space="preserve"> обеспечивающих реализацию риск-ориентированного подхода для оценки показателей, характеризующих достижение целей социально-экономического развития города Москвы в сфере городского хозяйства</w:t>
      </w:r>
      <w:r w:rsidR="003A6BC1" w:rsidRPr="006043BB">
        <w:rPr>
          <w:color w:val="0F1115"/>
          <w:spacing w:val="-2"/>
          <w:sz w:val="28"/>
          <w:szCs w:val="28"/>
        </w:rPr>
        <w:t>.</w:t>
      </w:r>
    </w:p>
    <w:p w:rsidR="003D6C72" w:rsidRPr="006043BB" w:rsidRDefault="003D6C72" w:rsidP="003D6C7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Учетные показатели</w:t>
      </w:r>
      <w:r w:rsidRPr="006043BB">
        <w:rPr>
          <w:color w:val="0F1115"/>
          <w:spacing w:val="-2"/>
          <w:sz w:val="28"/>
          <w:szCs w:val="28"/>
        </w:rPr>
        <w:t> – финансовые и натуральные показатели, характеризующие достижение приоритетов р</w:t>
      </w:r>
      <w:bookmarkStart w:id="1" w:name="_GoBack"/>
      <w:bookmarkEnd w:id="1"/>
      <w:r w:rsidRPr="006043BB">
        <w:rPr>
          <w:color w:val="0F1115"/>
          <w:spacing w:val="-2"/>
          <w:sz w:val="28"/>
          <w:szCs w:val="28"/>
        </w:rPr>
        <w:t>азвития, а также тренды развития города Москвы, в отношении которых возможно регулярное (ежемесячное или ежеквартальное) получение их значений (в том числе значений за прошедшие отчетные периоды (в ретроспективе)). Учетные показатели формируются на</w:t>
      </w:r>
      <w:r w:rsidR="0027613A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 xml:space="preserve">основе подходов к определению, актуализации и анализу значений показателей, содержащихся в Модели </w:t>
      </w:r>
      <w:r w:rsidRPr="006043BB">
        <w:rPr>
          <w:spacing w:val="-2"/>
          <w:sz w:val="28"/>
          <w:szCs w:val="28"/>
        </w:rPr>
        <w:t>формирования и актуализации учетных показателей, характеризующих достижение целей социально-экономического развития города Москвы в сфере городского хозяйства.</w:t>
      </w:r>
      <w:r w:rsidRPr="006043BB">
        <w:rPr>
          <w:rStyle w:val="a3"/>
          <w:color w:val="0F1115"/>
          <w:spacing w:val="-2"/>
          <w:sz w:val="28"/>
          <w:szCs w:val="28"/>
        </w:rPr>
        <w:t xml:space="preserve"> </w:t>
      </w:r>
    </w:p>
    <w:p w:rsidR="003A6BC1" w:rsidRPr="006043BB" w:rsidRDefault="003A6BC1" w:rsidP="003A6BC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043BB">
        <w:rPr>
          <w:rFonts w:ascii="Times New Roman" w:hAnsi="Times New Roman" w:cs="Times New Roman"/>
          <w:b/>
          <w:spacing w:val="-2"/>
          <w:sz w:val="28"/>
          <w:szCs w:val="28"/>
        </w:rPr>
        <w:t>Источники официальной статистическ</w:t>
      </w:r>
      <w:r w:rsidR="00155564" w:rsidRPr="006043BB">
        <w:rPr>
          <w:rFonts w:ascii="Times New Roman" w:hAnsi="Times New Roman" w:cs="Times New Roman"/>
          <w:b/>
          <w:spacing w:val="-2"/>
          <w:sz w:val="28"/>
          <w:szCs w:val="28"/>
        </w:rPr>
        <w:t>ой</w:t>
      </w:r>
      <w:r w:rsidRPr="006043B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информации 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>–статистические сборники, аналитические доклады, оперативные данные, раздел «Статистика» официального сайта Федеральной службы государственной статистики, Единая межведомственная информационно-статистическая система, Федеральный план статистических работ, иные источники, содержащие статистическую отчетность.</w:t>
      </w:r>
    </w:p>
    <w:p w:rsidR="003A6BC1" w:rsidRPr="006043BB" w:rsidRDefault="003A6BC1" w:rsidP="003A6BC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043BB">
        <w:rPr>
          <w:rFonts w:ascii="Times New Roman" w:hAnsi="Times New Roman" w:cs="Times New Roman"/>
          <w:b/>
          <w:spacing w:val="-2"/>
          <w:sz w:val="28"/>
          <w:szCs w:val="28"/>
        </w:rPr>
        <w:t>Экспертная оценка (экспертный подход)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> – </w:t>
      </w:r>
      <w:r w:rsidRPr="006043BB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 xml:space="preserve">аналитическая деятельность 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работников КСП Москвы, основанная на профессиональном опыте и накопленных знаниях, в результате которой формируется обоснованное суждение (информация) </w:t>
      </w:r>
      <w:r w:rsidRPr="006043BB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для принятия решений в условиях неопредел</w:t>
      </w:r>
      <w:r w:rsidR="0027613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е</w:t>
      </w:r>
      <w:r w:rsidRPr="006043BB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нности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A6BC1" w:rsidRPr="006043BB" w:rsidRDefault="003A6BC1" w:rsidP="003A6BC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043BB">
        <w:rPr>
          <w:rFonts w:ascii="Times New Roman" w:hAnsi="Times New Roman" w:cs="Times New Roman"/>
          <w:b/>
          <w:spacing w:val="-2"/>
          <w:sz w:val="28"/>
          <w:szCs w:val="28"/>
        </w:rPr>
        <w:t>Директивно установленные показатели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(директивная необходимость достижения показателей) – показатели,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 xml:space="preserve"> достижение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котор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 xml:space="preserve">ых определено 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>нормативны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правовы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акто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ли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ины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 xml:space="preserve"> документо</w:t>
      </w:r>
      <w:r w:rsidR="005320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043B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Ретроспективный анализ</w:t>
      </w:r>
      <w:r w:rsidR="00EF3B59" w:rsidRPr="006043BB">
        <w:rPr>
          <w:rStyle w:val="a3"/>
          <w:color w:val="0F1115"/>
          <w:spacing w:val="-2"/>
          <w:sz w:val="28"/>
          <w:szCs w:val="28"/>
        </w:rPr>
        <w:t xml:space="preserve"> </w:t>
      </w:r>
      <w:r w:rsidR="00EF3B59" w:rsidRPr="006043BB">
        <w:rPr>
          <w:color w:val="0F1115"/>
          <w:spacing w:val="-2"/>
          <w:sz w:val="28"/>
          <w:szCs w:val="28"/>
        </w:rPr>
        <w:t>(</w:t>
      </w:r>
      <w:r w:rsidR="00EF3B59" w:rsidRPr="006043BB">
        <w:rPr>
          <w:bCs/>
          <w:spacing w:val="-2"/>
          <w:sz w:val="28"/>
        </w:rPr>
        <w:t>ретроспективный подход</w:t>
      </w:r>
      <w:r w:rsidR="00EF3B59" w:rsidRPr="006043BB">
        <w:rPr>
          <w:color w:val="0F1115"/>
          <w:spacing w:val="-2"/>
          <w:sz w:val="28"/>
          <w:szCs w:val="28"/>
        </w:rPr>
        <w:t>) </w:t>
      </w:r>
      <w:r w:rsidRPr="006043BB">
        <w:rPr>
          <w:color w:val="0F1115"/>
          <w:spacing w:val="-2"/>
          <w:sz w:val="28"/>
          <w:szCs w:val="28"/>
        </w:rPr>
        <w:t xml:space="preserve">– метод исследования динамики показателей за определенный период (в рамках документа — </w:t>
      </w:r>
      <w:r w:rsidR="009A1F64" w:rsidRPr="006043BB">
        <w:rPr>
          <w:color w:val="0F1115"/>
          <w:spacing w:val="-2"/>
          <w:sz w:val="28"/>
          <w:szCs w:val="28"/>
        </w:rPr>
        <w:t>от</w:t>
      </w:r>
      <w:r w:rsidRPr="006043BB">
        <w:rPr>
          <w:color w:val="0F1115"/>
          <w:spacing w:val="-2"/>
          <w:sz w:val="28"/>
          <w:szCs w:val="28"/>
        </w:rPr>
        <w:t xml:space="preserve"> тр</w:t>
      </w:r>
      <w:r w:rsidR="009A1F64" w:rsidRPr="006043BB">
        <w:rPr>
          <w:color w:val="0F1115"/>
          <w:spacing w:val="-2"/>
          <w:sz w:val="28"/>
          <w:szCs w:val="28"/>
        </w:rPr>
        <w:t>ех</w:t>
      </w:r>
      <w:r w:rsidRPr="006043BB">
        <w:rPr>
          <w:color w:val="0F1115"/>
          <w:spacing w:val="-2"/>
          <w:sz w:val="28"/>
          <w:szCs w:val="28"/>
        </w:rPr>
        <w:t xml:space="preserve"> </w:t>
      </w:r>
      <w:r w:rsidR="009A1F64" w:rsidRPr="006043BB">
        <w:rPr>
          <w:color w:val="0F1115"/>
          <w:spacing w:val="-2"/>
          <w:sz w:val="28"/>
          <w:szCs w:val="28"/>
        </w:rPr>
        <w:t>лет</w:t>
      </w:r>
      <w:r w:rsidRPr="006043BB">
        <w:rPr>
          <w:color w:val="0F1115"/>
          <w:spacing w:val="-2"/>
          <w:sz w:val="28"/>
          <w:szCs w:val="28"/>
        </w:rPr>
        <w:t xml:space="preserve">, предшествующих анализируемому). Используется </w:t>
      </w:r>
      <w:r w:rsidRPr="006043BB">
        <w:rPr>
          <w:color w:val="0F1115"/>
          <w:spacing w:val="-2"/>
          <w:sz w:val="28"/>
          <w:szCs w:val="28"/>
        </w:rPr>
        <w:lastRenderedPageBreak/>
        <w:t>для расчета средних исторических значений и построения диапазонов типичных значений (допустимых отклонений).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Среднее историческое (ретроспективное) значение</w:t>
      </w:r>
      <w:r w:rsidRPr="006043BB">
        <w:rPr>
          <w:color w:val="0F1115"/>
          <w:spacing w:val="-2"/>
          <w:sz w:val="28"/>
          <w:szCs w:val="28"/>
        </w:rPr>
        <w:t> – расчетная величина, полученная на основе анализа динамики фактических значений показателя за несколько сопоставимых периодов в прошлом (как правило, за три года, предшествующих анализируемому). Рассчитывается как среднее арифметическое значений показателя за аналогичные отчетные периоды предшествующих лет (например, суммируются значения исполнения за I квартал 2023, 2024 и 2025 годов, после чего полученная сумма делится на</w:t>
      </w:r>
      <w:r w:rsidR="0027613A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>три). Используется в качестве базы для определения типичной динамики исполнения бюджета и построения диапазона допустимых отклонений.</w:t>
      </w:r>
    </w:p>
    <w:p w:rsidR="000E0DBC" w:rsidRPr="006043BB" w:rsidRDefault="000E0DBC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Допустимое отклонение</w:t>
      </w:r>
      <w:r w:rsidR="005320DC">
        <w:rPr>
          <w:rStyle w:val="a3"/>
          <w:color w:val="0F1115"/>
          <w:spacing w:val="-2"/>
          <w:sz w:val="28"/>
          <w:szCs w:val="28"/>
        </w:rPr>
        <w:t xml:space="preserve"> значений</w:t>
      </w:r>
      <w:r w:rsidRPr="006043BB">
        <w:rPr>
          <w:color w:val="0F1115"/>
          <w:spacing w:val="-2"/>
          <w:sz w:val="28"/>
          <w:szCs w:val="28"/>
        </w:rPr>
        <w:t> – предельная величина возможного расхождения фактического значения показателя от его среднего исторического (ретроспективного) значения, при котором динамика исполнения признается типичной. Рассчитывается с применением коэффициента (k), устанавливаемого Методикой, и ограничивает верхнюю и нижнюю границы диапазона типичных значений. Превышение допустимого отклонения или недостижение диапазона типичных значений является основанием для углубленного анализа соответствующих причин.</w:t>
      </w:r>
    </w:p>
    <w:p w:rsidR="004F2BC7" w:rsidRPr="006043BB" w:rsidRDefault="004F2BC7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Диапазон типичных значений (диапазон допустим</w:t>
      </w:r>
      <w:r w:rsidR="00346B48" w:rsidRPr="006043BB">
        <w:rPr>
          <w:rStyle w:val="a3"/>
          <w:color w:val="0F1115"/>
          <w:spacing w:val="-2"/>
          <w:sz w:val="28"/>
          <w:szCs w:val="28"/>
        </w:rPr>
        <w:t>ых</w:t>
      </w:r>
      <w:r w:rsidRPr="006043BB">
        <w:rPr>
          <w:rStyle w:val="a3"/>
          <w:color w:val="0F1115"/>
          <w:spacing w:val="-2"/>
          <w:sz w:val="28"/>
          <w:szCs w:val="28"/>
        </w:rPr>
        <w:t xml:space="preserve"> отклонени</w:t>
      </w:r>
      <w:r w:rsidR="00346B48" w:rsidRPr="006043BB">
        <w:rPr>
          <w:rStyle w:val="a3"/>
          <w:color w:val="0F1115"/>
          <w:spacing w:val="-2"/>
          <w:sz w:val="28"/>
          <w:szCs w:val="28"/>
        </w:rPr>
        <w:t>й</w:t>
      </w:r>
      <w:r w:rsidRPr="006043BB">
        <w:rPr>
          <w:rStyle w:val="a3"/>
          <w:color w:val="0F1115"/>
          <w:spacing w:val="-2"/>
          <w:sz w:val="28"/>
          <w:szCs w:val="28"/>
        </w:rPr>
        <w:t>)</w:t>
      </w:r>
      <w:r w:rsidRPr="006043BB">
        <w:rPr>
          <w:color w:val="0F1115"/>
          <w:spacing w:val="-2"/>
          <w:sz w:val="28"/>
          <w:szCs w:val="28"/>
        </w:rPr>
        <w:t> – интервал значений показателя, ограниченный максимальным и минимальным пороговыми значениями. Рассчитывается на основе среднего исторического значения с учетом допустимого отклонения (коэффициента k). Попадание фактического значения в данный диапазон свидетельствует о</w:t>
      </w:r>
      <w:r w:rsidR="000E0DBC" w:rsidRPr="006043BB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>сохранении сложившихся трендов исполнения бюджета</w:t>
      </w:r>
      <w:r w:rsidR="000E0DBC" w:rsidRPr="006043BB">
        <w:rPr>
          <w:color w:val="0F1115"/>
          <w:spacing w:val="-2"/>
          <w:sz w:val="28"/>
          <w:szCs w:val="28"/>
        </w:rPr>
        <w:t>.</w:t>
      </w:r>
    </w:p>
    <w:p w:rsidR="00FB1E76" w:rsidRPr="006043BB" w:rsidRDefault="004F2BC7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>Нетипичное поведение</w:t>
      </w:r>
      <w:r w:rsidR="00724756" w:rsidRPr="006043BB">
        <w:rPr>
          <w:rStyle w:val="a3"/>
          <w:color w:val="0F1115"/>
          <w:spacing w:val="-2"/>
          <w:sz w:val="28"/>
          <w:szCs w:val="28"/>
        </w:rPr>
        <w:t xml:space="preserve"> финансового</w:t>
      </w:r>
      <w:r w:rsidRPr="006043BB">
        <w:rPr>
          <w:rStyle w:val="a3"/>
          <w:color w:val="0F1115"/>
          <w:spacing w:val="-2"/>
          <w:sz w:val="28"/>
          <w:szCs w:val="28"/>
        </w:rPr>
        <w:t xml:space="preserve"> показателя</w:t>
      </w:r>
      <w:r w:rsidRPr="006043BB">
        <w:rPr>
          <w:color w:val="0F1115"/>
          <w:spacing w:val="-2"/>
          <w:sz w:val="28"/>
          <w:szCs w:val="28"/>
        </w:rPr>
        <w:t> –</w:t>
      </w:r>
      <w:r w:rsidR="00724756" w:rsidRPr="006043BB">
        <w:rPr>
          <w:color w:val="0F1115"/>
          <w:spacing w:val="-2"/>
          <w:sz w:val="28"/>
          <w:szCs w:val="28"/>
        </w:rPr>
        <w:t xml:space="preserve"> </w:t>
      </w:r>
      <w:r w:rsidR="00B71F57" w:rsidRPr="006043BB">
        <w:rPr>
          <w:spacing w:val="-2"/>
          <w:sz w:val="28"/>
          <w:szCs w:val="28"/>
        </w:rPr>
        <w:t>п</w:t>
      </w:r>
      <w:r w:rsidR="00B71F57" w:rsidRPr="006043BB">
        <w:rPr>
          <w:color w:val="000000" w:themeColor="text1"/>
          <w:spacing w:val="-2"/>
          <w:sz w:val="28"/>
          <w:szCs w:val="28"/>
        </w:rPr>
        <w:t>ревышение (недостижение) фактических значений</w:t>
      </w:r>
      <w:r w:rsidR="00B71F57" w:rsidRPr="006043BB">
        <w:rPr>
          <w:spacing w:val="-2"/>
          <w:sz w:val="28"/>
          <w:szCs w:val="28"/>
        </w:rPr>
        <w:t xml:space="preserve"> установленных границ</w:t>
      </w:r>
      <w:r w:rsidR="00B71F57" w:rsidRPr="006043BB">
        <w:rPr>
          <w:color w:val="000000" w:themeColor="text1"/>
          <w:spacing w:val="-2"/>
          <w:sz w:val="28"/>
          <w:szCs w:val="28"/>
        </w:rPr>
        <w:t xml:space="preserve"> диапазона типичных значений</w:t>
      </w:r>
      <w:r w:rsidRPr="006043BB">
        <w:rPr>
          <w:color w:val="0F1115"/>
          <w:spacing w:val="-2"/>
          <w:sz w:val="28"/>
          <w:szCs w:val="28"/>
        </w:rPr>
        <w:t xml:space="preserve">, которое сигнализирует о возникновении новых факторов, рисков или изменений в </w:t>
      </w:r>
      <w:r w:rsidR="00FB1E76" w:rsidRPr="006043BB">
        <w:rPr>
          <w:color w:val="0F1115"/>
          <w:spacing w:val="-2"/>
          <w:sz w:val="28"/>
          <w:szCs w:val="28"/>
        </w:rPr>
        <w:t>анализируемом ряде значений показателя и требует дополнительного анализа</w:t>
      </w:r>
      <w:r w:rsidR="000E0DBC" w:rsidRPr="006043BB">
        <w:rPr>
          <w:color w:val="0F1115"/>
          <w:spacing w:val="-2"/>
          <w:sz w:val="28"/>
          <w:szCs w:val="28"/>
        </w:rPr>
        <w:t>.</w:t>
      </w:r>
    </w:p>
    <w:p w:rsidR="00724756" w:rsidRPr="006043BB" w:rsidRDefault="00724756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 xml:space="preserve">Нетипичное поведение </w:t>
      </w:r>
      <w:r w:rsidR="005320DC">
        <w:rPr>
          <w:rStyle w:val="a3"/>
          <w:color w:val="0F1115"/>
          <w:spacing w:val="-2"/>
          <w:sz w:val="28"/>
          <w:szCs w:val="28"/>
        </w:rPr>
        <w:t xml:space="preserve">значений </w:t>
      </w:r>
      <w:r w:rsidRPr="006043BB">
        <w:rPr>
          <w:rStyle w:val="a3"/>
          <w:color w:val="0F1115"/>
          <w:spacing w:val="-2"/>
          <w:sz w:val="28"/>
          <w:szCs w:val="28"/>
        </w:rPr>
        <w:t>натурального показателя</w:t>
      </w:r>
      <w:r w:rsidRPr="006043BB">
        <w:rPr>
          <w:color w:val="0F1115"/>
          <w:spacing w:val="-2"/>
          <w:sz w:val="28"/>
          <w:szCs w:val="28"/>
        </w:rPr>
        <w:t xml:space="preserve"> – </w:t>
      </w:r>
      <w:r w:rsidR="005862D7" w:rsidRPr="006043BB">
        <w:rPr>
          <w:color w:val="0F1115"/>
          <w:spacing w:val="-2"/>
          <w:sz w:val="28"/>
          <w:szCs w:val="28"/>
        </w:rPr>
        <w:t>не</w:t>
      </w:r>
      <w:r w:rsidRPr="006043BB">
        <w:rPr>
          <w:color w:val="0F1115"/>
          <w:spacing w:val="-2"/>
          <w:sz w:val="28"/>
          <w:szCs w:val="28"/>
        </w:rPr>
        <w:t>соответствие значений показателя сложившимся за анализируемый квартальный период трендам, существенное изменение динамики достижения показателя по сравнению с аналогичным периодом прошлого года, по</w:t>
      </w:r>
      <w:r w:rsidR="0027613A">
        <w:rPr>
          <w:color w:val="0F1115"/>
          <w:spacing w:val="-2"/>
          <w:sz w:val="28"/>
          <w:szCs w:val="28"/>
        </w:rPr>
        <w:t> </w:t>
      </w:r>
      <w:r w:rsidRPr="006043BB">
        <w:rPr>
          <w:color w:val="0F1115"/>
          <w:spacing w:val="-2"/>
          <w:sz w:val="28"/>
          <w:szCs w:val="28"/>
        </w:rPr>
        <w:t xml:space="preserve">отношению к </w:t>
      </w:r>
      <w:r w:rsidR="00FA5620" w:rsidRPr="006043BB">
        <w:rPr>
          <w:color w:val="0F1115"/>
          <w:spacing w:val="-2"/>
          <w:sz w:val="28"/>
          <w:szCs w:val="28"/>
        </w:rPr>
        <w:t>предыдущему</w:t>
      </w:r>
      <w:r w:rsidRPr="006043BB">
        <w:rPr>
          <w:color w:val="0F1115"/>
          <w:spacing w:val="-2"/>
          <w:sz w:val="28"/>
          <w:szCs w:val="28"/>
        </w:rPr>
        <w:t xml:space="preserve"> кварталу текущего года</w:t>
      </w:r>
      <w:r w:rsidR="000E0DBC" w:rsidRPr="006043BB">
        <w:rPr>
          <w:color w:val="0F1115"/>
          <w:spacing w:val="-2"/>
          <w:sz w:val="28"/>
          <w:szCs w:val="28"/>
        </w:rPr>
        <w:t>.</w:t>
      </w:r>
    </w:p>
    <w:p w:rsidR="00FB1E76" w:rsidRPr="006043BB" w:rsidRDefault="004F2BC7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rStyle w:val="a3"/>
          <w:color w:val="0F1115"/>
          <w:spacing w:val="-2"/>
          <w:sz w:val="28"/>
          <w:szCs w:val="28"/>
        </w:rPr>
        <w:t xml:space="preserve">Типичное поведение </w:t>
      </w:r>
      <w:r w:rsidR="005320DC">
        <w:rPr>
          <w:rStyle w:val="a3"/>
          <w:color w:val="0F1115"/>
          <w:spacing w:val="-2"/>
          <w:sz w:val="28"/>
          <w:szCs w:val="28"/>
        </w:rPr>
        <w:t xml:space="preserve">значений </w:t>
      </w:r>
      <w:r w:rsidRPr="006043BB">
        <w:rPr>
          <w:rStyle w:val="a3"/>
          <w:color w:val="0F1115"/>
          <w:spacing w:val="-2"/>
          <w:sz w:val="28"/>
          <w:szCs w:val="28"/>
        </w:rPr>
        <w:t>показателя</w:t>
      </w:r>
      <w:r w:rsidRPr="006043BB">
        <w:rPr>
          <w:color w:val="0F1115"/>
          <w:spacing w:val="-2"/>
          <w:sz w:val="28"/>
          <w:szCs w:val="28"/>
        </w:rPr>
        <w:t> –</w:t>
      </w:r>
      <w:r w:rsidR="009077F5" w:rsidRPr="006043BB">
        <w:rPr>
          <w:color w:val="0F1115"/>
          <w:spacing w:val="-2"/>
          <w:sz w:val="28"/>
          <w:szCs w:val="28"/>
        </w:rPr>
        <w:t xml:space="preserve"> </w:t>
      </w:r>
      <w:r w:rsidR="00FA5620" w:rsidRPr="006043BB">
        <w:rPr>
          <w:color w:val="0F1115"/>
          <w:spacing w:val="-2"/>
          <w:sz w:val="28"/>
          <w:szCs w:val="28"/>
        </w:rPr>
        <w:t xml:space="preserve">нахождение фактического </w:t>
      </w:r>
      <w:r w:rsidR="00FB1E76" w:rsidRPr="006043BB">
        <w:rPr>
          <w:color w:val="0F1115"/>
          <w:spacing w:val="-2"/>
          <w:sz w:val="28"/>
          <w:szCs w:val="28"/>
        </w:rPr>
        <w:t>значени</w:t>
      </w:r>
      <w:r w:rsidR="009077F5" w:rsidRPr="006043BB">
        <w:rPr>
          <w:color w:val="0F1115"/>
          <w:spacing w:val="-2"/>
          <w:sz w:val="28"/>
          <w:szCs w:val="28"/>
        </w:rPr>
        <w:t>я</w:t>
      </w:r>
      <w:r w:rsidRPr="006043BB">
        <w:rPr>
          <w:color w:val="0F1115"/>
          <w:spacing w:val="-2"/>
          <w:sz w:val="28"/>
          <w:szCs w:val="28"/>
        </w:rPr>
        <w:t xml:space="preserve"> показателя</w:t>
      </w:r>
      <w:r w:rsidR="009077F5" w:rsidRPr="006043BB">
        <w:rPr>
          <w:color w:val="0F1115"/>
          <w:spacing w:val="-2"/>
          <w:sz w:val="28"/>
          <w:szCs w:val="28"/>
        </w:rPr>
        <w:t xml:space="preserve"> </w:t>
      </w:r>
      <w:r w:rsidR="00FB1E76" w:rsidRPr="006043BB">
        <w:rPr>
          <w:color w:val="0F1115"/>
          <w:spacing w:val="-2"/>
          <w:sz w:val="28"/>
          <w:szCs w:val="28"/>
        </w:rPr>
        <w:t>в диапазоне допустимых отклонений</w:t>
      </w:r>
      <w:r w:rsidR="00724756" w:rsidRPr="006043BB">
        <w:rPr>
          <w:color w:val="0F1115"/>
          <w:spacing w:val="-2"/>
          <w:sz w:val="28"/>
          <w:szCs w:val="28"/>
        </w:rPr>
        <w:t>, соответствующе</w:t>
      </w:r>
      <w:r w:rsidR="00FA5620" w:rsidRPr="006043BB">
        <w:rPr>
          <w:color w:val="0F1115"/>
          <w:spacing w:val="-2"/>
          <w:sz w:val="28"/>
          <w:szCs w:val="28"/>
        </w:rPr>
        <w:t>м</w:t>
      </w:r>
      <w:r w:rsidR="00724756" w:rsidRPr="006043BB">
        <w:rPr>
          <w:color w:val="0F1115"/>
          <w:spacing w:val="-2"/>
          <w:sz w:val="28"/>
          <w:szCs w:val="28"/>
        </w:rPr>
        <w:t xml:space="preserve"> сформировавшимся трендам</w:t>
      </w:r>
      <w:r w:rsidR="00FA5620" w:rsidRPr="006043BB">
        <w:rPr>
          <w:color w:val="0F1115"/>
          <w:spacing w:val="-2"/>
          <w:sz w:val="28"/>
          <w:szCs w:val="28"/>
        </w:rPr>
        <w:t xml:space="preserve"> за ряд прошедших периодов</w:t>
      </w:r>
      <w:r w:rsidR="00FB1E76" w:rsidRPr="006043BB">
        <w:rPr>
          <w:color w:val="0F1115"/>
          <w:spacing w:val="-2"/>
          <w:sz w:val="28"/>
          <w:szCs w:val="28"/>
        </w:rPr>
        <w:t>.</w:t>
      </w:r>
    </w:p>
    <w:p w:rsidR="00A64DD9" w:rsidRPr="006043BB" w:rsidRDefault="003A6BC1" w:rsidP="003A6BC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pacing w:val="-2"/>
          <w:sz w:val="28"/>
          <w:szCs w:val="28"/>
        </w:rPr>
      </w:pPr>
      <w:r w:rsidRPr="006043BB">
        <w:rPr>
          <w:b/>
          <w:spacing w:val="-2"/>
          <w:sz w:val="28"/>
          <w:szCs w:val="28"/>
        </w:rPr>
        <w:t>Работник, ответственный за выполнение этапа</w:t>
      </w:r>
      <w:r w:rsidRPr="006043BB">
        <w:rPr>
          <w:spacing w:val="-2"/>
          <w:sz w:val="28"/>
          <w:szCs w:val="28"/>
        </w:rPr>
        <w:t xml:space="preserve"> (ответственный работник) – работник КСП Москвы, на котор</w:t>
      </w:r>
      <w:r w:rsidR="009A32B0">
        <w:rPr>
          <w:spacing w:val="-2"/>
          <w:sz w:val="28"/>
          <w:szCs w:val="28"/>
        </w:rPr>
        <w:t>о</w:t>
      </w:r>
      <w:r w:rsidR="00526F9A">
        <w:rPr>
          <w:spacing w:val="-2"/>
          <w:sz w:val="28"/>
          <w:szCs w:val="28"/>
        </w:rPr>
        <w:t>го</w:t>
      </w:r>
      <w:r w:rsidRPr="006043BB">
        <w:rPr>
          <w:spacing w:val="-2"/>
          <w:sz w:val="28"/>
          <w:szCs w:val="28"/>
        </w:rPr>
        <w:t xml:space="preserve"> руководителем структурного подразделения возложены обязанности по выполнению этапа (этапов) в</w:t>
      </w:r>
      <w:r w:rsidR="0035593E" w:rsidRPr="006043BB">
        <w:rPr>
          <w:spacing w:val="-2"/>
          <w:sz w:val="28"/>
          <w:szCs w:val="28"/>
        </w:rPr>
        <w:t> </w:t>
      </w:r>
      <w:r w:rsidRPr="006043BB">
        <w:rPr>
          <w:spacing w:val="-2"/>
          <w:sz w:val="28"/>
          <w:szCs w:val="28"/>
        </w:rPr>
        <w:t>рамках общего процесса функционирования Модели.</w:t>
      </w:r>
    </w:p>
    <w:sectPr w:rsidR="00A64DD9" w:rsidRPr="006043BB" w:rsidSect="009A32B0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331" w:rsidRDefault="00FB1331" w:rsidP="00FB1E76">
      <w:pPr>
        <w:spacing w:after="0" w:line="240" w:lineRule="auto"/>
      </w:pPr>
      <w:r>
        <w:separator/>
      </w:r>
    </w:p>
  </w:endnote>
  <w:endnote w:type="continuationSeparator" w:id="0">
    <w:p w:rsidR="00FB1331" w:rsidRDefault="00FB1331" w:rsidP="00FB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331" w:rsidRDefault="00FB1331" w:rsidP="00FB1E76">
      <w:pPr>
        <w:spacing w:after="0" w:line="240" w:lineRule="auto"/>
      </w:pPr>
      <w:r>
        <w:separator/>
      </w:r>
    </w:p>
  </w:footnote>
  <w:footnote w:type="continuationSeparator" w:id="0">
    <w:p w:rsidR="00FB1331" w:rsidRDefault="00FB1331" w:rsidP="00FB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303835"/>
      <w:docPartObj>
        <w:docPartGallery w:val="Page Numbers (Top of Page)"/>
        <w:docPartUnique/>
      </w:docPartObj>
    </w:sdtPr>
    <w:sdtEndPr/>
    <w:sdtContent>
      <w:p w:rsidR="00FB1E76" w:rsidRDefault="00FB1E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13A">
          <w:rPr>
            <w:noProof/>
          </w:rPr>
          <w:t>2</w:t>
        </w:r>
        <w:r>
          <w:fldChar w:fldCharType="end"/>
        </w:r>
      </w:p>
    </w:sdtContent>
  </w:sdt>
  <w:p w:rsidR="00FB1E76" w:rsidRDefault="00FB1E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D08"/>
    <w:rsid w:val="00001BAA"/>
    <w:rsid w:val="0002464A"/>
    <w:rsid w:val="000A642A"/>
    <w:rsid w:val="000E0DBC"/>
    <w:rsid w:val="001026D2"/>
    <w:rsid w:val="00155564"/>
    <w:rsid w:val="00180BC8"/>
    <w:rsid w:val="001E3C3B"/>
    <w:rsid w:val="001E4524"/>
    <w:rsid w:val="0027613A"/>
    <w:rsid w:val="00346B48"/>
    <w:rsid w:val="0035593E"/>
    <w:rsid w:val="003A6BC1"/>
    <w:rsid w:val="003D6C72"/>
    <w:rsid w:val="00493DBF"/>
    <w:rsid w:val="004C0D08"/>
    <w:rsid w:val="004F2BC7"/>
    <w:rsid w:val="00526F9A"/>
    <w:rsid w:val="005320DC"/>
    <w:rsid w:val="005862D7"/>
    <w:rsid w:val="006043BB"/>
    <w:rsid w:val="006417B0"/>
    <w:rsid w:val="00652105"/>
    <w:rsid w:val="006556B2"/>
    <w:rsid w:val="006769B2"/>
    <w:rsid w:val="00724756"/>
    <w:rsid w:val="007B1A49"/>
    <w:rsid w:val="0081391D"/>
    <w:rsid w:val="009077F5"/>
    <w:rsid w:val="009239DD"/>
    <w:rsid w:val="00982D50"/>
    <w:rsid w:val="009A1F64"/>
    <w:rsid w:val="009A32B0"/>
    <w:rsid w:val="00A64DD9"/>
    <w:rsid w:val="00AC4CF1"/>
    <w:rsid w:val="00AF619E"/>
    <w:rsid w:val="00B24C08"/>
    <w:rsid w:val="00B51BD3"/>
    <w:rsid w:val="00B71F57"/>
    <w:rsid w:val="00BB60F4"/>
    <w:rsid w:val="00DD4A7F"/>
    <w:rsid w:val="00E55AE5"/>
    <w:rsid w:val="00EB108F"/>
    <w:rsid w:val="00EF3B59"/>
    <w:rsid w:val="00F80810"/>
    <w:rsid w:val="00FA5620"/>
    <w:rsid w:val="00FB1331"/>
    <w:rsid w:val="00FB1E76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16D3"/>
  <w15:docId w15:val="{ECBEB184-0308-465E-A955-7ECF6BE3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F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2BC7"/>
    <w:rPr>
      <w:b/>
      <w:bCs/>
    </w:rPr>
  </w:style>
  <w:style w:type="paragraph" w:styleId="a4">
    <w:name w:val="header"/>
    <w:basedOn w:val="a"/>
    <w:link w:val="a5"/>
    <w:uiPriority w:val="99"/>
    <w:unhideWhenUsed/>
    <w:rsid w:val="00FB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1E76"/>
  </w:style>
  <w:style w:type="paragraph" w:styleId="a6">
    <w:name w:val="footer"/>
    <w:basedOn w:val="a"/>
    <w:link w:val="a7"/>
    <w:uiPriority w:val="99"/>
    <w:unhideWhenUsed/>
    <w:rsid w:val="00FB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1E76"/>
  </w:style>
  <w:style w:type="paragraph" w:styleId="a8">
    <w:name w:val="Normal (Web)"/>
    <w:basedOn w:val="a"/>
    <w:uiPriority w:val="99"/>
    <w:unhideWhenUsed/>
    <w:rsid w:val="00E5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Кутуков Антон Антонович</dc:creator>
  <cp:keywords/>
  <dc:description/>
  <cp:lastModifiedBy>Павлова Ольга Владимировна</cp:lastModifiedBy>
  <cp:revision>34</cp:revision>
  <cp:lastPrinted>2026-06-24T05:55:00Z</cp:lastPrinted>
  <dcterms:created xsi:type="dcterms:W3CDTF">2026-06-17T09:21:00Z</dcterms:created>
  <dcterms:modified xsi:type="dcterms:W3CDTF">2026-08-25T11:20:00Z</dcterms:modified>
</cp:coreProperties>
</file>